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17F20" w14:textId="77777777" w:rsidR="004D5A29" w:rsidRDefault="00000000">
      <w:pPr>
        <w:pStyle w:val="ae"/>
        <w:jc w:val="center"/>
        <w:rPr>
          <w:sz w:val="28"/>
        </w:rPr>
      </w:pPr>
      <w:r>
        <w:rPr>
          <w:rFonts w:ascii="Times New Roman" w:hAnsi="Times New Roman"/>
          <w:b/>
          <w:sz w:val="28"/>
        </w:rPr>
        <w:t>Аналитический материал по итогам служебной деятельности</w:t>
      </w:r>
    </w:p>
    <w:p w14:paraId="2376B702" w14:textId="77777777" w:rsidR="004D5A29" w:rsidRDefault="00000000">
      <w:pPr>
        <w:pStyle w:val="ae"/>
        <w:jc w:val="center"/>
        <w:rPr>
          <w:sz w:val="28"/>
        </w:rPr>
      </w:pPr>
      <w:r>
        <w:rPr>
          <w:rFonts w:ascii="Times New Roman" w:hAnsi="Times New Roman"/>
          <w:b/>
          <w:sz w:val="28"/>
        </w:rPr>
        <w:t>отдела государственного контроля Управления Росгвардии</w:t>
      </w:r>
    </w:p>
    <w:p w14:paraId="1C578D0A" w14:textId="77777777" w:rsidR="004D5A29" w:rsidRDefault="00000000">
      <w:pPr>
        <w:pStyle w:val="ae"/>
        <w:jc w:val="center"/>
        <w:rPr>
          <w:sz w:val="28"/>
        </w:rPr>
      </w:pPr>
      <w:r>
        <w:rPr>
          <w:rFonts w:ascii="Times New Roman" w:hAnsi="Times New Roman"/>
          <w:b/>
          <w:sz w:val="28"/>
        </w:rPr>
        <w:t>по Хабаровскому краю за 12 месяцев 2025 года</w:t>
      </w:r>
    </w:p>
    <w:p w14:paraId="65CA6CC8" w14:textId="77777777" w:rsidR="004D5A29" w:rsidRDefault="004D5A29">
      <w:pPr>
        <w:pStyle w:val="ae"/>
        <w:ind w:firstLine="709"/>
        <w:jc w:val="both"/>
        <w:rPr>
          <w:rFonts w:ascii="Times New Roman" w:hAnsi="Times New Roman"/>
          <w:sz w:val="28"/>
          <w:highlight w:val="yellow"/>
        </w:rPr>
      </w:pPr>
    </w:p>
    <w:p w14:paraId="21BC1EAF" w14:textId="77777777" w:rsidR="004D5A29" w:rsidRDefault="00000000">
      <w:pPr>
        <w:pStyle w:val="ae"/>
        <w:jc w:val="center"/>
        <w:rPr>
          <w:sz w:val="28"/>
        </w:rPr>
      </w:pPr>
      <w:r>
        <w:rPr>
          <w:rFonts w:ascii="Times New Roman" w:hAnsi="Times New Roman"/>
          <w:sz w:val="28"/>
          <w:u w:val="single"/>
        </w:rPr>
        <w:t>Работа по контролю за деятельностью подразделений охраны</w:t>
      </w:r>
    </w:p>
    <w:p w14:paraId="48F1D3E0" w14:textId="77777777" w:rsidR="004D5A29" w:rsidRDefault="00000000">
      <w:pPr>
        <w:pStyle w:val="ae"/>
        <w:jc w:val="center"/>
        <w:rPr>
          <w:sz w:val="28"/>
        </w:rPr>
      </w:pPr>
      <w:r>
        <w:rPr>
          <w:rFonts w:ascii="Times New Roman" w:hAnsi="Times New Roman"/>
          <w:sz w:val="28"/>
          <w:u w:val="single"/>
        </w:rPr>
        <w:t>юридических лиц с особыми уставными задачами</w:t>
      </w:r>
    </w:p>
    <w:p w14:paraId="005A09FA" w14:textId="77777777" w:rsidR="004D5A29" w:rsidRDefault="00000000">
      <w:pPr>
        <w:pStyle w:val="ae"/>
        <w:jc w:val="center"/>
        <w:rPr>
          <w:sz w:val="28"/>
        </w:rPr>
      </w:pPr>
      <w:r>
        <w:rPr>
          <w:rFonts w:ascii="Times New Roman" w:hAnsi="Times New Roman"/>
          <w:sz w:val="28"/>
          <w:u w:val="single"/>
        </w:rPr>
        <w:t>и подразделений ведомственной охраны</w:t>
      </w:r>
    </w:p>
    <w:p w14:paraId="193D67E1" w14:textId="77777777" w:rsidR="004D5A29" w:rsidRDefault="004D5A29">
      <w:pPr>
        <w:pStyle w:val="ae"/>
        <w:ind w:firstLine="709"/>
        <w:jc w:val="both"/>
        <w:rPr>
          <w:rFonts w:ascii="Times New Roman" w:hAnsi="Times New Roman"/>
          <w:b/>
          <w:sz w:val="28"/>
        </w:rPr>
      </w:pPr>
    </w:p>
    <w:p w14:paraId="63C6F516" w14:textId="77777777" w:rsidR="004D5A29" w:rsidRDefault="00000000">
      <w:pPr>
        <w:pStyle w:val="Standard"/>
        <w:spacing w:after="0" w:line="240" w:lineRule="auto"/>
        <w:ind w:firstLine="567"/>
        <w:jc w:val="both"/>
        <w:rPr>
          <w:sz w:val="28"/>
        </w:rPr>
      </w:pPr>
      <w:r>
        <w:rPr>
          <w:rFonts w:ascii="Times New Roman" w:hAnsi="Times New Roman"/>
          <w:sz w:val="28"/>
        </w:rPr>
        <w:t>На территории Хабаровского края осуществляют свою деятельность 9 подразделений ведомственной охраны и 8 подразделений охраны юридических лиц с особыми уставными задачами.</w:t>
      </w:r>
    </w:p>
    <w:p w14:paraId="62B526BC" w14:textId="77777777" w:rsidR="004D5A29" w:rsidRDefault="00000000">
      <w:pPr>
        <w:pStyle w:val="ae"/>
        <w:ind w:firstLine="709"/>
        <w:jc w:val="both"/>
        <w:rPr>
          <w:sz w:val="28"/>
        </w:rPr>
      </w:pPr>
      <w:r>
        <w:rPr>
          <w:rFonts w:ascii="Times New Roman" w:hAnsi="Times New Roman"/>
          <w:sz w:val="28"/>
        </w:rPr>
        <w:t>В соответствии с Планом проведения проверок подразделений охраны юридических лиц с особыми уставными задачами и подразделений ведомственной охраны на 2025 год Управлением Росгвардии по Хабаровскому краю проведено 6 плановых и 1 внеплановая проверка подразделений охран, осуществляющих свою деятельность на территории Хабаровского края. Руководителям подразделений охран выдано 4 предписания об устранении обязательных требований. Составлено 2 протокола об административных правонарушениях по статье 20.8 и 19.5 КоАП РФ.</w:t>
      </w:r>
    </w:p>
    <w:p w14:paraId="5A9BF33B" w14:textId="77777777" w:rsidR="004D5A29" w:rsidRDefault="00000000">
      <w:pPr>
        <w:pStyle w:val="Standard"/>
        <w:spacing w:after="0" w:line="240" w:lineRule="auto"/>
        <w:ind w:firstLine="709"/>
        <w:jc w:val="both"/>
        <w:rPr>
          <w:sz w:val="28"/>
        </w:rPr>
      </w:pPr>
      <w:r>
        <w:rPr>
          <w:rFonts w:ascii="Times New Roman" w:hAnsi="Times New Roman"/>
          <w:sz w:val="28"/>
        </w:rPr>
        <w:t>По итогам проведенных плановых проверок выявлено 28 нарушений обязательных требований (25 из них устранены в ходе проведения проверок).</w:t>
      </w:r>
    </w:p>
    <w:p w14:paraId="2BCEFEB8" w14:textId="77777777" w:rsidR="004D5A29" w:rsidRDefault="00000000">
      <w:pPr>
        <w:pStyle w:val="ae"/>
        <w:ind w:firstLine="709"/>
        <w:jc w:val="both"/>
        <w:rPr>
          <w:sz w:val="28"/>
        </w:rPr>
      </w:pPr>
      <w:r>
        <w:rPr>
          <w:rFonts w:ascii="Times New Roman" w:hAnsi="Times New Roman"/>
          <w:sz w:val="28"/>
        </w:rPr>
        <w:t>Наиболее часто встречающиеся нарушения:</w:t>
      </w:r>
    </w:p>
    <w:p w14:paraId="3F0E9BFB" w14:textId="77777777" w:rsidR="004D5A29" w:rsidRDefault="00000000">
      <w:pPr>
        <w:pStyle w:val="ae"/>
        <w:ind w:firstLine="709"/>
        <w:jc w:val="both"/>
        <w:rPr>
          <w:sz w:val="28"/>
        </w:rPr>
      </w:pPr>
      <w:r>
        <w:rPr>
          <w:rFonts w:ascii="Times New Roman" w:hAnsi="Times New Roman"/>
          <w:sz w:val="28"/>
        </w:rPr>
        <w:t>- не прохождение работниками дактилоскопической регистрации, в соответствии с установленными требованиями;</w:t>
      </w:r>
    </w:p>
    <w:p w14:paraId="2E82BC6F" w14:textId="77777777" w:rsidR="004D5A29" w:rsidRDefault="00000000">
      <w:pPr>
        <w:pStyle w:val="Standard"/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нарушение порядка (при трудоустройстве), предоставления сведений об отсутствии судимости, либо прекращения уголовного преследования;</w:t>
      </w:r>
    </w:p>
    <w:p w14:paraId="6883B667" w14:textId="77777777" w:rsidR="004D5A29" w:rsidRDefault="00000000">
      <w:pPr>
        <w:pStyle w:val="Standard"/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 нарушение условий хранения и учета боевого ручного стрелкового оружия и служебного;</w:t>
      </w:r>
    </w:p>
    <w:p w14:paraId="1FF98395" w14:textId="77777777" w:rsidR="004D5A29" w:rsidRDefault="00000000">
      <w:pPr>
        <w:pStyle w:val="Standard"/>
        <w:spacing w:after="0" w:line="240" w:lineRule="auto"/>
        <w:ind w:left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 не проведение контрольного отстрела оружия; </w:t>
      </w:r>
    </w:p>
    <w:p w14:paraId="4239AFC3" w14:textId="77777777" w:rsidR="004D5A29" w:rsidRDefault="00000000">
      <w:pPr>
        <w:pStyle w:val="Standard"/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XO Thames" w:hAnsi="XO Thames"/>
          <w:sz w:val="28"/>
        </w:rPr>
        <w:noBreakHyphen/>
        <w:t xml:space="preserve"> </w:t>
      </w:r>
      <w:r>
        <w:rPr>
          <w:rFonts w:ascii="Times New Roman" w:hAnsi="Times New Roman"/>
          <w:sz w:val="28"/>
        </w:rPr>
        <w:t>не проведение учебных и контрольных стрельб с использованием огнестрельного оружия.</w:t>
      </w:r>
    </w:p>
    <w:p w14:paraId="3A18B45E" w14:textId="39AED44C" w:rsidR="004D5A29" w:rsidRDefault="00000000">
      <w:pPr>
        <w:pStyle w:val="Standard"/>
        <w:spacing w:after="0" w:line="240" w:lineRule="auto"/>
        <w:ind w:firstLine="709"/>
        <w:jc w:val="both"/>
        <w:rPr>
          <w:sz w:val="28"/>
        </w:rPr>
      </w:pPr>
      <w:r>
        <w:rPr>
          <w:rFonts w:ascii="Times New Roman" w:hAnsi="Times New Roman"/>
          <w:sz w:val="28"/>
        </w:rPr>
        <w:t xml:space="preserve">В рамках реализации Программы профилактики нарушений обязательных требований, при осуществлении федерального государственного контроля (надзора) в установленных сферах на 2025 год, Управлением Росгвардии по Хабаровскому краю вынесено 19 предостережений о недопустимости нарушения обязательных требований. Проведено 6 рабочих встреч с представителями подразделений охран по вопросам противодиверсионной защищенности, усиления контрольно-пропускного и внутриобъектового режимов охраняемых объектов, рассмотрения вопросов, касающихся изменений при проведении плановых и внеплановых проверок. </w:t>
      </w:r>
    </w:p>
    <w:p w14:paraId="60CC3C89" w14:textId="77777777" w:rsidR="004D5A29" w:rsidRDefault="00000000">
      <w:pPr>
        <w:pStyle w:val="Standard"/>
        <w:spacing w:after="0" w:line="240" w:lineRule="auto"/>
        <w:ind w:firstLine="709"/>
        <w:jc w:val="both"/>
        <w:rPr>
          <w:sz w:val="28"/>
        </w:rPr>
      </w:pPr>
      <w:r>
        <w:rPr>
          <w:rFonts w:ascii="Times New Roman" w:hAnsi="Times New Roman"/>
          <w:sz w:val="28"/>
        </w:rPr>
        <w:t>В составе Комиссии по периодическим проверкам сотрудниками отдела государственного контроля принято 3059 чел/экзаменов у работников подразделений охраны на пригодность к действиям в условиях, связанных с применением огнестрельного оружия и специальных средств.</w:t>
      </w:r>
    </w:p>
    <w:p w14:paraId="163B2B10" w14:textId="77777777" w:rsidR="004D5A29" w:rsidRDefault="00000000">
      <w:pPr>
        <w:pStyle w:val="Standard"/>
        <w:tabs>
          <w:tab w:val="left" w:pos="675"/>
          <w:tab w:val="left" w:pos="1820"/>
          <w:tab w:val="left" w:pos="3351"/>
          <w:tab w:val="left" w:pos="5900"/>
          <w:tab w:val="left" w:pos="9072"/>
        </w:tabs>
        <w:spacing w:after="0" w:line="240" w:lineRule="auto"/>
        <w:ind w:firstLine="680"/>
        <w:jc w:val="both"/>
        <w:rPr>
          <w:sz w:val="28"/>
        </w:rPr>
      </w:pPr>
      <w:r>
        <w:rPr>
          <w:rFonts w:ascii="Times New Roman" w:hAnsi="Times New Roman"/>
          <w:sz w:val="28"/>
        </w:rPr>
        <w:t>Проведено дактилоскопирование 224 работников подразделений ведомственных охран и юридических лиц с особыми уставными задачами.</w:t>
      </w:r>
    </w:p>
    <w:p w14:paraId="76EFCFBD" w14:textId="77777777" w:rsidR="004D5A29" w:rsidRDefault="004D5A29">
      <w:pPr>
        <w:pStyle w:val="ae"/>
        <w:jc w:val="center"/>
        <w:rPr>
          <w:sz w:val="28"/>
          <w:highlight w:val="yellow"/>
          <w:u w:val="single"/>
        </w:rPr>
      </w:pPr>
    </w:p>
    <w:p w14:paraId="69017813" w14:textId="77777777" w:rsidR="004D5A29" w:rsidRDefault="00000000">
      <w:pPr>
        <w:pStyle w:val="ae"/>
        <w:jc w:val="center"/>
        <w:rPr>
          <w:sz w:val="28"/>
        </w:rPr>
      </w:pPr>
      <w:r>
        <w:rPr>
          <w:rFonts w:ascii="Times New Roman" w:hAnsi="Times New Roman"/>
          <w:sz w:val="28"/>
          <w:u w:val="single"/>
        </w:rPr>
        <w:lastRenderedPageBreak/>
        <w:t>Работа по контролю за обеспечением безопасности</w:t>
      </w:r>
    </w:p>
    <w:p w14:paraId="786858D3" w14:textId="77777777" w:rsidR="004D5A29" w:rsidRDefault="00000000">
      <w:pPr>
        <w:pStyle w:val="ae"/>
        <w:jc w:val="center"/>
        <w:rPr>
          <w:sz w:val="28"/>
        </w:rPr>
      </w:pPr>
      <w:r>
        <w:rPr>
          <w:rFonts w:ascii="Times New Roman" w:hAnsi="Times New Roman"/>
          <w:sz w:val="28"/>
          <w:u w:val="single"/>
        </w:rPr>
        <w:t>и антитеррористической защищенности объектов</w:t>
      </w:r>
    </w:p>
    <w:p w14:paraId="56249462" w14:textId="77777777" w:rsidR="004D5A29" w:rsidRDefault="00000000">
      <w:pPr>
        <w:pStyle w:val="ae"/>
        <w:jc w:val="center"/>
        <w:rPr>
          <w:sz w:val="28"/>
        </w:rPr>
      </w:pPr>
      <w:r>
        <w:rPr>
          <w:rFonts w:ascii="Times New Roman" w:hAnsi="Times New Roman"/>
          <w:sz w:val="28"/>
          <w:u w:val="single"/>
        </w:rPr>
        <w:t>топливно-энергетического комплекса (ТЭК)</w:t>
      </w:r>
    </w:p>
    <w:p w14:paraId="545D45A6" w14:textId="77777777" w:rsidR="004D5A29" w:rsidRDefault="004D5A29">
      <w:pPr>
        <w:pStyle w:val="ae"/>
        <w:jc w:val="center"/>
        <w:rPr>
          <w:rFonts w:ascii="Times New Roman" w:hAnsi="Times New Roman"/>
          <w:sz w:val="28"/>
          <w:highlight w:val="yellow"/>
        </w:rPr>
      </w:pPr>
    </w:p>
    <w:p w14:paraId="1945C72D" w14:textId="120829E1" w:rsidR="004D5A29" w:rsidRDefault="00000000">
      <w:pPr>
        <w:pStyle w:val="ae"/>
        <w:ind w:firstLine="709"/>
        <w:jc w:val="both"/>
        <w:rPr>
          <w:sz w:val="28"/>
        </w:rPr>
      </w:pPr>
      <w:r>
        <w:rPr>
          <w:rFonts w:ascii="Times New Roman" w:hAnsi="Times New Roman"/>
          <w:sz w:val="28"/>
        </w:rPr>
        <w:t>На территории Хабаровского края расположено 13 субъектов ТЭК, в состав которых входит 43 категорированных объект</w:t>
      </w:r>
      <w:r w:rsidR="009D3734"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 ТЭК, включенных в Реестр, формируемый Министерством энергетики Российской Федерации. </w:t>
      </w:r>
    </w:p>
    <w:p w14:paraId="24F6C2F8" w14:textId="77777777" w:rsidR="004D5A29" w:rsidRDefault="00000000">
      <w:pPr>
        <w:pStyle w:val="ae"/>
        <w:ind w:firstLine="709"/>
        <w:jc w:val="both"/>
        <w:rPr>
          <w:sz w:val="28"/>
        </w:rPr>
      </w:pPr>
      <w:r>
        <w:rPr>
          <w:rFonts w:ascii="Times New Roman" w:hAnsi="Times New Roman"/>
          <w:sz w:val="28"/>
        </w:rPr>
        <w:t>В 2025 году проведено 24 плановых и 41 внеплановых проверок объектов ТЭК.</w:t>
      </w:r>
    </w:p>
    <w:p w14:paraId="29A271B9" w14:textId="77777777" w:rsidR="004D5A29" w:rsidRDefault="00000000">
      <w:pPr>
        <w:pStyle w:val="ae"/>
        <w:ind w:firstLine="709"/>
        <w:jc w:val="both"/>
        <w:rPr>
          <w:sz w:val="28"/>
        </w:rPr>
      </w:pPr>
      <w:r>
        <w:rPr>
          <w:rFonts w:ascii="Times New Roman" w:hAnsi="Times New Roman"/>
          <w:sz w:val="28"/>
        </w:rPr>
        <w:t>По итогам проведенных плановых проверок выявлены нарушения требований обеспечения безопасности и антитеррористической защищенности объектов, руководителям субъектов ТЭК выдано 13 предписаний об устранении выявленных нарушений. В отношении должностных и юридических лиц субъектов ТЭК составлено 17 протоколов об административных правонарушениях по ст. 20.30 КоАП РФ</w:t>
      </w:r>
      <w:r>
        <w:rPr>
          <w:sz w:val="28"/>
        </w:rPr>
        <w:t>.</w:t>
      </w:r>
    </w:p>
    <w:p w14:paraId="57F18093" w14:textId="77777777" w:rsidR="004D5A29" w:rsidRDefault="00000000">
      <w:pPr>
        <w:pStyle w:val="ae"/>
        <w:ind w:firstLine="709"/>
        <w:jc w:val="both"/>
        <w:rPr>
          <w:sz w:val="28"/>
          <w:highlight w:val="yellow"/>
        </w:rPr>
      </w:pPr>
      <w:r>
        <w:rPr>
          <w:rFonts w:ascii="Times New Roman" w:hAnsi="Times New Roman"/>
          <w:sz w:val="28"/>
        </w:rPr>
        <w:t>По результатам проведенных внеплановых проверок установлены факты неисполнения предписаний об устранении выявленных нарушений. Руководителям субъектов ТЭК выдано 13 предписаний об устранении выявленных нарушений. В отношении субъектов ТЭК составлено 32 протокола об административных правонарушениях по статье 19.5 КоАП РФ.</w:t>
      </w:r>
    </w:p>
    <w:p w14:paraId="66DE7459" w14:textId="701CAA27" w:rsidR="004D5A29" w:rsidRDefault="00000000">
      <w:pPr>
        <w:pStyle w:val="ae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Принято участие в 3 межведомственных комиссиях по категорированию объектов ТЭК и актуализации паспортов безопасност</w:t>
      </w:r>
      <w:r w:rsidR="009D3734">
        <w:rPr>
          <w:rFonts w:ascii="Times New Roman" w:hAnsi="Times New Roman"/>
          <w:sz w:val="28"/>
        </w:rPr>
        <w:t>ь</w:t>
      </w:r>
      <w:r>
        <w:rPr>
          <w:rFonts w:ascii="Times New Roman" w:hAnsi="Times New Roman"/>
          <w:sz w:val="28"/>
        </w:rPr>
        <w:t>, в 2 совместных тренировках на объектах ТЭК.</w:t>
      </w:r>
    </w:p>
    <w:p w14:paraId="7F225837" w14:textId="68E4E21C" w:rsidR="004D5A29" w:rsidRDefault="00000000">
      <w:pPr>
        <w:pStyle w:val="ae"/>
        <w:ind w:firstLine="709"/>
        <w:jc w:val="both"/>
        <w:rPr>
          <w:sz w:val="28"/>
          <w:highlight w:val="yellow"/>
        </w:rPr>
      </w:pPr>
      <w:r>
        <w:rPr>
          <w:rFonts w:ascii="Times New Roman" w:hAnsi="Times New Roman"/>
          <w:sz w:val="28"/>
        </w:rPr>
        <w:t>В рамках реализации Программы профилактики нарушений обязательных требований, при осуществлении федерального государственного контроля (надзора) в установленных сферах на 2025 год, Управлением Росгвардии по Хабаровскому краю в отношении 14 объектов вынесены предостережения о недопустимости нарушения обязательных требований. В ходе проведения проверок осуществлено 65 консультировани</w:t>
      </w:r>
      <w:r w:rsidR="009D3734">
        <w:rPr>
          <w:rFonts w:ascii="Times New Roman" w:hAnsi="Times New Roman"/>
          <w:sz w:val="28"/>
        </w:rPr>
        <w:t>й</w:t>
      </w:r>
      <w:r>
        <w:rPr>
          <w:rFonts w:ascii="Times New Roman" w:hAnsi="Times New Roman"/>
          <w:sz w:val="28"/>
        </w:rPr>
        <w:t xml:space="preserve"> представителей субъектов ТЭК о порядке проведения и требованиях защищенности.</w:t>
      </w:r>
    </w:p>
    <w:p w14:paraId="639F26AC" w14:textId="77777777" w:rsidR="004D5A29" w:rsidRDefault="00000000">
      <w:pPr>
        <w:pStyle w:val="ae"/>
        <w:ind w:firstLine="709"/>
        <w:jc w:val="both"/>
        <w:rPr>
          <w:sz w:val="28"/>
        </w:rPr>
      </w:pPr>
      <w:r>
        <w:rPr>
          <w:rFonts w:ascii="Times New Roman" w:hAnsi="Times New Roman"/>
          <w:sz w:val="28"/>
        </w:rPr>
        <w:t>На заседаниях Антитеррористической комиссии Хабаровского края, Оперативного штаба, а также на совещании при заместителе председателя Правительства Хабаровского края заслушан ряд руководителей субъектов ТЭК о принимаемых мерах по обеспечению антитеррористической защищенности.</w:t>
      </w:r>
    </w:p>
    <w:p w14:paraId="6B9B7584" w14:textId="4E1C95E2" w:rsidR="004D5A29" w:rsidRDefault="00000000">
      <w:pPr>
        <w:pStyle w:val="ae"/>
        <w:ind w:firstLine="709"/>
        <w:jc w:val="both"/>
        <w:rPr>
          <w:sz w:val="28"/>
          <w:highlight w:val="yellow"/>
        </w:rPr>
      </w:pPr>
      <w:r>
        <w:rPr>
          <w:rFonts w:ascii="Times New Roman" w:hAnsi="Times New Roman"/>
          <w:sz w:val="28"/>
        </w:rPr>
        <w:t>В Министерстве энергетики Хабаровского края проведены совместные рабочие встречи с представителями субъектов ТЭК по вопросам защищенности объектов. По обращениям субъектов ТЭК осуществлено 10 профилактических визит</w:t>
      </w:r>
      <w:r w:rsidR="009D3734">
        <w:rPr>
          <w:rFonts w:ascii="Times New Roman" w:hAnsi="Times New Roman"/>
          <w:sz w:val="28"/>
        </w:rPr>
        <w:t>ов</w:t>
      </w:r>
      <w:r>
        <w:rPr>
          <w:rFonts w:ascii="Times New Roman" w:hAnsi="Times New Roman"/>
          <w:sz w:val="28"/>
        </w:rPr>
        <w:t>.</w:t>
      </w:r>
    </w:p>
    <w:sectPr w:rsidR="004D5A29">
      <w:pgSz w:w="11906" w:h="16838"/>
      <w:pgMar w:top="932" w:right="941" w:bottom="595" w:left="1155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XO Thames">
    <w:altName w:val="Cambria"/>
    <w:charset w:val="01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Astra Serif">
    <w:charset w:val="01"/>
    <w:family w:val="roman"/>
    <w:pitch w:val="default"/>
  </w:font>
  <w:font w:name="PT Sans">
    <w:charset w:val="CC"/>
    <w:family w:val="swiss"/>
    <w:pitch w:val="variable"/>
    <w:sig w:usb0="A00002EF" w:usb1="5000204B" w:usb2="00000000" w:usb3="00000000" w:csb0="00000097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653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A29"/>
    <w:rsid w:val="004D5A29"/>
    <w:rsid w:val="009D3734"/>
    <w:rsid w:val="00EF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A5CAB"/>
  <w15:docId w15:val="{CBE72D60-5B38-4EE0-A5F8-7DF1D4BE5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ahoma" w:hAnsi="Calibri" w:cs="Noto Sans Devanagari"/>
        <w:color w:val="000000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next w:val="Standard"/>
    <w:uiPriority w:val="9"/>
    <w:qFormat/>
    <w:pPr>
      <w:widowControl w:val="0"/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Standard"/>
    <w:uiPriority w:val="9"/>
    <w:qFormat/>
    <w:pPr>
      <w:widowControl w:val="0"/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Standard"/>
    <w:uiPriority w:val="9"/>
    <w:qFormat/>
    <w:pPr>
      <w:widowControl w:val="0"/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Standard"/>
    <w:uiPriority w:val="9"/>
    <w:qFormat/>
    <w:pPr>
      <w:widowControl w:val="0"/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Standard"/>
    <w:uiPriority w:val="9"/>
    <w:qFormat/>
    <w:pPr>
      <w:widowControl w:val="0"/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Абзац списка1"/>
    <w:basedOn w:val="Standard0"/>
    <w:qFormat/>
    <w:rPr>
      <w:rFonts w:ascii="Calibri" w:hAnsi="Calibri"/>
      <w:color w:val="000000"/>
      <w:sz w:val="22"/>
    </w:rPr>
  </w:style>
  <w:style w:type="character" w:customStyle="1" w:styleId="Contents2">
    <w:name w:val="Contents 2"/>
    <w:qFormat/>
    <w:rPr>
      <w:rFonts w:ascii="XO Thames" w:hAnsi="XO Thames"/>
      <w:color w:val="000000"/>
      <w:sz w:val="28"/>
    </w:rPr>
  </w:style>
  <w:style w:type="character" w:customStyle="1" w:styleId="Contents3">
    <w:name w:val="Contents 3"/>
    <w:qFormat/>
    <w:rPr>
      <w:rFonts w:ascii="XO Thames" w:hAnsi="XO Thames"/>
      <w:sz w:val="28"/>
    </w:rPr>
  </w:style>
  <w:style w:type="character" w:customStyle="1" w:styleId="Contents5">
    <w:name w:val="Contents 5"/>
    <w:qFormat/>
    <w:rPr>
      <w:rFonts w:ascii="XO Thames" w:hAnsi="XO Thames"/>
      <w:sz w:val="28"/>
    </w:rPr>
  </w:style>
  <w:style w:type="character" w:customStyle="1" w:styleId="Contents4">
    <w:name w:val="Contents 4"/>
    <w:qFormat/>
    <w:rPr>
      <w:rFonts w:ascii="XO Thames" w:hAnsi="XO Thames"/>
      <w:color w:val="000000"/>
      <w:sz w:val="28"/>
    </w:rPr>
  </w:style>
  <w:style w:type="character" w:customStyle="1" w:styleId="a3">
    <w:name w:val="Верхний и нижний колонтитулы"/>
    <w:qFormat/>
    <w:rPr>
      <w:rFonts w:ascii="XO Thames" w:hAnsi="XO Thames"/>
      <w:color w:val="000000"/>
      <w:sz w:val="28"/>
    </w:rPr>
  </w:style>
  <w:style w:type="character" w:customStyle="1" w:styleId="Contents8">
    <w:name w:val="Contents 8"/>
    <w:qFormat/>
    <w:rPr>
      <w:rFonts w:ascii="XO Thames" w:hAnsi="XO Thames"/>
      <w:sz w:val="28"/>
    </w:rPr>
  </w:style>
  <w:style w:type="character" w:customStyle="1" w:styleId="Contents6">
    <w:name w:val="Contents 6"/>
    <w:qFormat/>
    <w:rPr>
      <w:rFonts w:ascii="XO Thames" w:hAnsi="XO Thames"/>
      <w:color w:val="000000"/>
      <w:sz w:val="28"/>
    </w:rPr>
  </w:style>
  <w:style w:type="character" w:customStyle="1" w:styleId="Contents7">
    <w:name w:val="Contents 7"/>
    <w:qFormat/>
    <w:rPr>
      <w:rFonts w:ascii="XO Thames" w:hAnsi="XO Thames"/>
      <w:color w:val="000000"/>
      <w:sz w:val="28"/>
    </w:rPr>
  </w:style>
  <w:style w:type="character" w:customStyle="1" w:styleId="Endnote">
    <w:name w:val="Endnote"/>
    <w:qFormat/>
    <w:rPr>
      <w:rFonts w:ascii="XO Thames" w:hAnsi="XO Thames"/>
      <w:color w:val="000000"/>
      <w:sz w:val="22"/>
    </w:rPr>
  </w:style>
  <w:style w:type="character" w:customStyle="1" w:styleId="31">
    <w:name w:val="Заголовок 31"/>
    <w:qFormat/>
    <w:rPr>
      <w:rFonts w:ascii="XO Thames" w:hAnsi="XO Thames"/>
      <w:b/>
      <w:color w:val="000000"/>
      <w:sz w:val="26"/>
    </w:rPr>
  </w:style>
  <w:style w:type="character" w:customStyle="1" w:styleId="11">
    <w:name w:val="Основной шрифт абзаца1"/>
    <w:qFormat/>
    <w:rPr>
      <w:rFonts w:ascii="Calibri" w:hAnsi="Calibri"/>
      <w:color w:val="000000"/>
      <w:sz w:val="20"/>
    </w:rPr>
  </w:style>
  <w:style w:type="character" w:customStyle="1" w:styleId="a4">
    <w:name w:val="Привязка сноски"/>
    <w:rPr>
      <w:rFonts w:ascii="Calibri" w:hAnsi="Calibri"/>
      <w:color w:val="000000"/>
      <w:sz w:val="20"/>
      <w:vertAlign w:val="superscript"/>
    </w:rPr>
  </w:style>
  <w:style w:type="character" w:customStyle="1" w:styleId="12">
    <w:name w:val="Текст сноски1"/>
    <w:basedOn w:val="Standard0"/>
    <w:qFormat/>
    <w:rPr>
      <w:rFonts w:ascii="Calibri" w:hAnsi="Calibri"/>
      <w:color w:val="000000"/>
      <w:sz w:val="20"/>
    </w:rPr>
  </w:style>
  <w:style w:type="character" w:customStyle="1" w:styleId="13">
    <w:name w:val="Список1"/>
    <w:basedOn w:val="Textbody"/>
    <w:qFormat/>
    <w:rPr>
      <w:rFonts w:ascii="PT Astra Serif" w:hAnsi="PT Astra Serif"/>
      <w:color w:val="000000"/>
      <w:sz w:val="22"/>
    </w:rPr>
  </w:style>
  <w:style w:type="character" w:customStyle="1" w:styleId="Contents1">
    <w:name w:val="Contents 1"/>
    <w:qFormat/>
    <w:rPr>
      <w:rFonts w:ascii="XO Thames" w:hAnsi="XO Thames"/>
      <w:b/>
      <w:sz w:val="28"/>
    </w:rPr>
  </w:style>
  <w:style w:type="character" w:customStyle="1" w:styleId="14">
    <w:name w:val="Название объекта1"/>
    <w:basedOn w:val="Standard0"/>
    <w:qFormat/>
    <w:rPr>
      <w:rFonts w:ascii="PT Sans" w:hAnsi="PT Sans"/>
      <w:i/>
      <w:color w:val="000000"/>
      <w:sz w:val="24"/>
    </w:rPr>
  </w:style>
  <w:style w:type="character" w:customStyle="1" w:styleId="Textbody">
    <w:name w:val="Text body"/>
    <w:basedOn w:val="Standard0"/>
    <w:qFormat/>
    <w:rPr>
      <w:rFonts w:ascii="Calibri" w:hAnsi="Calibri"/>
      <w:color w:val="000000"/>
      <w:sz w:val="22"/>
    </w:rPr>
  </w:style>
  <w:style w:type="character" w:customStyle="1" w:styleId="51">
    <w:name w:val="Заголовок 51"/>
    <w:qFormat/>
    <w:rPr>
      <w:rFonts w:ascii="XO Thames" w:hAnsi="XO Thames"/>
      <w:b/>
      <w:color w:val="000000"/>
      <w:sz w:val="22"/>
    </w:rPr>
  </w:style>
  <w:style w:type="character" w:customStyle="1" w:styleId="FootnoteCharacters">
    <w:name w:val="Footnote Characters"/>
    <w:basedOn w:val="11"/>
    <w:qFormat/>
    <w:rPr>
      <w:rFonts w:ascii="Calibri" w:hAnsi="Calibri"/>
      <w:color w:val="000000"/>
      <w:sz w:val="20"/>
      <w:vertAlign w:val="superscript"/>
    </w:rPr>
  </w:style>
  <w:style w:type="character" w:customStyle="1" w:styleId="15">
    <w:name w:val="Указатель1"/>
    <w:basedOn w:val="Standard0"/>
    <w:qFormat/>
    <w:rPr>
      <w:rFonts w:ascii="PT Sans" w:hAnsi="PT Sans"/>
      <w:color w:val="000000"/>
      <w:sz w:val="22"/>
    </w:rPr>
  </w:style>
  <w:style w:type="character" w:customStyle="1" w:styleId="110">
    <w:name w:val="Заголовок 11"/>
    <w:qFormat/>
    <w:rPr>
      <w:rFonts w:ascii="XO Thames" w:hAnsi="XO Thames"/>
      <w:b/>
      <w:color w:val="000000"/>
      <w:sz w:val="32"/>
    </w:rPr>
  </w:style>
  <w:style w:type="character" w:customStyle="1" w:styleId="16">
    <w:name w:val="Без интервала1"/>
    <w:qFormat/>
    <w:rPr>
      <w:rFonts w:ascii="Calibri" w:hAnsi="Calibri"/>
      <w:color w:val="000000"/>
      <w:sz w:val="22"/>
    </w:rPr>
  </w:style>
  <w:style w:type="character" w:customStyle="1" w:styleId="Standard0">
    <w:name w:val="Standard"/>
    <w:qFormat/>
    <w:rPr>
      <w:rFonts w:ascii="Calibri" w:hAnsi="Calibri"/>
      <w:color w:val="000000"/>
      <w:sz w:val="22"/>
    </w:rPr>
  </w:style>
  <w:style w:type="character" w:customStyle="1" w:styleId="-">
    <w:name w:val="Интернет-ссылка"/>
    <w:rPr>
      <w:rFonts w:ascii="Calibri" w:hAnsi="Calibri"/>
      <w:color w:val="0000FF"/>
      <w:sz w:val="20"/>
      <w:u w:val="single"/>
    </w:rPr>
  </w:style>
  <w:style w:type="character" w:customStyle="1" w:styleId="Footnote">
    <w:name w:val="Footnote"/>
    <w:qFormat/>
    <w:rPr>
      <w:rFonts w:ascii="XO Thames" w:hAnsi="XO Thames"/>
      <w:color w:val="000000"/>
      <w:sz w:val="22"/>
    </w:rPr>
  </w:style>
  <w:style w:type="character" w:customStyle="1" w:styleId="17">
    <w:name w:val="Заголовок1"/>
    <w:basedOn w:val="Standard0"/>
    <w:qFormat/>
    <w:rPr>
      <w:rFonts w:ascii="PT Astra Serif" w:hAnsi="PT Astra Serif"/>
      <w:color w:val="000000"/>
      <w:sz w:val="28"/>
    </w:rPr>
  </w:style>
  <w:style w:type="character" w:customStyle="1" w:styleId="HeaderandFooter">
    <w:name w:val="Header and Footer"/>
    <w:qFormat/>
    <w:rPr>
      <w:rFonts w:ascii="XO Thames" w:hAnsi="XO Thames"/>
      <w:sz w:val="28"/>
    </w:rPr>
  </w:style>
  <w:style w:type="character" w:customStyle="1" w:styleId="20">
    <w:name w:val="Указатель2"/>
    <w:basedOn w:val="Standard0"/>
    <w:qFormat/>
    <w:rPr>
      <w:rFonts w:ascii="PT Astra Serif" w:hAnsi="PT Astra Serif"/>
      <w:color w:val="000000"/>
      <w:sz w:val="22"/>
    </w:rPr>
  </w:style>
  <w:style w:type="character" w:customStyle="1" w:styleId="18">
    <w:name w:val="Название объекта1"/>
    <w:basedOn w:val="Standard0"/>
    <w:qFormat/>
    <w:rPr>
      <w:rFonts w:ascii="PT Astra Serif" w:hAnsi="PT Astra Serif"/>
      <w:i/>
      <w:color w:val="000000"/>
      <w:sz w:val="24"/>
    </w:rPr>
  </w:style>
  <w:style w:type="character" w:customStyle="1" w:styleId="Contents9">
    <w:name w:val="Contents 9"/>
    <w:qFormat/>
    <w:rPr>
      <w:rFonts w:ascii="XO Thames" w:hAnsi="XO Thames"/>
      <w:color w:val="000000"/>
      <w:sz w:val="28"/>
    </w:rPr>
  </w:style>
  <w:style w:type="character" w:customStyle="1" w:styleId="a5">
    <w:name w:val="Текст сноски Знак"/>
    <w:basedOn w:val="11"/>
    <w:qFormat/>
    <w:rPr>
      <w:rFonts w:ascii="Calibri" w:hAnsi="Calibri"/>
      <w:color w:val="000000"/>
      <w:sz w:val="20"/>
    </w:rPr>
  </w:style>
  <w:style w:type="character" w:customStyle="1" w:styleId="21">
    <w:name w:val="Название объекта2"/>
    <w:qFormat/>
    <w:rPr>
      <w:rFonts w:ascii="PT Astra Serif" w:hAnsi="PT Astra Serif"/>
      <w:i/>
      <w:sz w:val="24"/>
    </w:rPr>
  </w:style>
  <w:style w:type="character" w:customStyle="1" w:styleId="19">
    <w:name w:val="Подзаголовок1"/>
    <w:qFormat/>
    <w:rPr>
      <w:rFonts w:ascii="XO Thames" w:hAnsi="XO Thames"/>
      <w:i/>
      <w:color w:val="000000"/>
      <w:sz w:val="24"/>
    </w:rPr>
  </w:style>
  <w:style w:type="character" w:customStyle="1" w:styleId="22">
    <w:name w:val="Заголовок2"/>
    <w:basedOn w:val="17"/>
    <w:qFormat/>
    <w:rPr>
      <w:rFonts w:ascii="PT Astra Serif" w:hAnsi="PT Astra Serif"/>
      <w:b/>
      <w:color w:val="000000"/>
      <w:sz w:val="56"/>
    </w:rPr>
  </w:style>
  <w:style w:type="character" w:customStyle="1" w:styleId="41">
    <w:name w:val="Заголовок 41"/>
    <w:qFormat/>
    <w:rPr>
      <w:rFonts w:ascii="XO Thames" w:hAnsi="XO Thames"/>
      <w:b/>
      <w:color w:val="000000"/>
      <w:sz w:val="24"/>
    </w:rPr>
  </w:style>
  <w:style w:type="character" w:customStyle="1" w:styleId="30">
    <w:name w:val="Заголовок3"/>
    <w:basedOn w:val="Standard0"/>
    <w:qFormat/>
    <w:rPr>
      <w:rFonts w:ascii="PT Sans" w:hAnsi="PT Sans"/>
      <w:color w:val="000000"/>
      <w:sz w:val="28"/>
    </w:rPr>
  </w:style>
  <w:style w:type="character" w:customStyle="1" w:styleId="210">
    <w:name w:val="Заголовок 21"/>
    <w:qFormat/>
    <w:rPr>
      <w:rFonts w:ascii="XO Thames" w:hAnsi="XO Thames"/>
      <w:b/>
      <w:color w:val="000000"/>
      <w:sz w:val="28"/>
    </w:rPr>
  </w:style>
  <w:style w:type="paragraph" w:styleId="a6">
    <w:name w:val="Title"/>
    <w:basedOn w:val="Standard"/>
    <w:next w:val="a7"/>
    <w:uiPriority w:val="10"/>
    <w:qFormat/>
    <w:pPr>
      <w:jc w:val="center"/>
    </w:pPr>
    <w:rPr>
      <w:b/>
      <w:sz w:val="56"/>
    </w:rPr>
  </w:style>
  <w:style w:type="paragraph" w:styleId="a7">
    <w:name w:val="Body Text"/>
    <w:basedOn w:val="Standard"/>
    <w:pPr>
      <w:spacing w:after="140"/>
    </w:pPr>
  </w:style>
  <w:style w:type="paragraph" w:styleId="a8">
    <w:name w:val="List"/>
    <w:basedOn w:val="a7"/>
    <w:rPr>
      <w:rFonts w:ascii="PT Astra Serif" w:hAnsi="PT Astra Serif"/>
    </w:rPr>
  </w:style>
  <w:style w:type="paragraph" w:styleId="a9">
    <w:name w:val="caption"/>
    <w:basedOn w:val="Standard"/>
    <w:qFormat/>
    <w:pPr>
      <w:spacing w:before="120" w:after="120"/>
    </w:pPr>
    <w:rPr>
      <w:rFonts w:ascii="PT Sans" w:hAnsi="PT Sans"/>
      <w:i/>
      <w:sz w:val="24"/>
    </w:rPr>
  </w:style>
  <w:style w:type="paragraph" w:styleId="aa">
    <w:name w:val="index heading"/>
    <w:basedOn w:val="Standard"/>
    <w:qFormat/>
    <w:rPr>
      <w:rFonts w:ascii="PT Astra Serif" w:hAnsi="PT Astra Serif"/>
    </w:rPr>
  </w:style>
  <w:style w:type="paragraph" w:styleId="ab">
    <w:name w:val="List Paragraph"/>
    <w:basedOn w:val="Standard"/>
    <w:qFormat/>
    <w:pPr>
      <w:ind w:left="720"/>
    </w:pPr>
  </w:style>
  <w:style w:type="paragraph" w:styleId="23">
    <w:name w:val="toc 2"/>
    <w:next w:val="a"/>
    <w:uiPriority w:val="39"/>
    <w:pPr>
      <w:ind w:left="200"/>
    </w:pPr>
    <w:rPr>
      <w:rFonts w:ascii="XO Thames" w:hAnsi="XO Thames"/>
      <w:sz w:val="28"/>
    </w:rPr>
  </w:style>
  <w:style w:type="paragraph" w:customStyle="1" w:styleId="Contents30">
    <w:name w:val="Contents 3"/>
    <w:next w:val="Standard"/>
    <w:qFormat/>
    <w:pPr>
      <w:widowControl w:val="0"/>
      <w:ind w:left="400"/>
    </w:pPr>
    <w:rPr>
      <w:rFonts w:ascii="XO Thames" w:hAnsi="XO Thames"/>
      <w:sz w:val="28"/>
    </w:rPr>
  </w:style>
  <w:style w:type="paragraph" w:customStyle="1" w:styleId="Contents50">
    <w:name w:val="Contents 5"/>
    <w:next w:val="Standard"/>
    <w:qFormat/>
    <w:pPr>
      <w:widowControl w:val="0"/>
      <w:ind w:left="800"/>
    </w:pPr>
    <w:rPr>
      <w:rFonts w:ascii="XO Thames" w:hAnsi="XO Thames"/>
      <w:sz w:val="28"/>
    </w:rPr>
  </w:style>
  <w:style w:type="paragraph" w:styleId="40">
    <w:name w:val="toc 4"/>
    <w:next w:val="a"/>
    <w:uiPriority w:val="39"/>
    <w:pPr>
      <w:ind w:left="600"/>
    </w:pPr>
    <w:rPr>
      <w:rFonts w:ascii="XO Thames" w:hAnsi="XO Thames"/>
      <w:sz w:val="28"/>
    </w:rPr>
  </w:style>
  <w:style w:type="paragraph" w:customStyle="1" w:styleId="ac">
    <w:name w:val="Верхний и нижний колонтитулы"/>
    <w:qFormat/>
    <w:pPr>
      <w:jc w:val="both"/>
    </w:pPr>
    <w:rPr>
      <w:rFonts w:ascii="XO Thames" w:hAnsi="XO Thames"/>
      <w:sz w:val="28"/>
    </w:rPr>
  </w:style>
  <w:style w:type="paragraph" w:customStyle="1" w:styleId="Contents80">
    <w:name w:val="Contents 8"/>
    <w:next w:val="Standard"/>
    <w:qFormat/>
    <w:pPr>
      <w:widowControl w:val="0"/>
      <w:ind w:left="1400"/>
    </w:pPr>
    <w:rPr>
      <w:rFonts w:ascii="XO Thames" w:hAnsi="XO Thames"/>
      <w:sz w:val="28"/>
    </w:rPr>
  </w:style>
  <w:style w:type="paragraph" w:styleId="6">
    <w:name w:val="toc 6"/>
    <w:next w:val="a"/>
    <w:uiPriority w:val="39"/>
    <w:pPr>
      <w:ind w:left="1000"/>
    </w:pPr>
    <w:rPr>
      <w:rFonts w:ascii="XO Thames" w:hAnsi="XO Thames"/>
      <w:sz w:val="28"/>
    </w:rPr>
  </w:style>
  <w:style w:type="paragraph" w:customStyle="1" w:styleId="Contents20">
    <w:name w:val="Contents 2"/>
    <w:next w:val="Standard"/>
    <w:qFormat/>
    <w:pPr>
      <w:widowControl w:val="0"/>
      <w:ind w:left="200"/>
    </w:pPr>
    <w:rPr>
      <w:rFonts w:ascii="XO Thames" w:hAnsi="XO Thames"/>
      <w:sz w:val="28"/>
    </w:rPr>
  </w:style>
  <w:style w:type="paragraph" w:styleId="7">
    <w:name w:val="toc 7"/>
    <w:next w:val="a"/>
    <w:uiPriority w:val="39"/>
    <w:pPr>
      <w:ind w:left="1200"/>
    </w:pPr>
    <w:rPr>
      <w:rFonts w:ascii="XO Thames" w:hAnsi="XO Thames"/>
      <w:sz w:val="28"/>
    </w:rPr>
  </w:style>
  <w:style w:type="paragraph" w:customStyle="1" w:styleId="Endnote0">
    <w:name w:val="Endnote"/>
    <w:qFormat/>
    <w:pPr>
      <w:widowControl w:val="0"/>
      <w:ind w:firstLine="851"/>
      <w:jc w:val="both"/>
    </w:pPr>
    <w:rPr>
      <w:rFonts w:ascii="XO Thames" w:hAnsi="XO Thames"/>
      <w:sz w:val="22"/>
    </w:rPr>
  </w:style>
  <w:style w:type="paragraph" w:customStyle="1" w:styleId="1a">
    <w:name w:val="Основной шрифт абзаца1"/>
    <w:qFormat/>
    <w:pPr>
      <w:widowControl w:val="0"/>
    </w:pPr>
  </w:style>
  <w:style w:type="paragraph" w:customStyle="1" w:styleId="Contents40">
    <w:name w:val="Contents 4"/>
    <w:next w:val="Standard"/>
    <w:qFormat/>
    <w:pPr>
      <w:widowControl w:val="0"/>
      <w:ind w:left="600"/>
    </w:pPr>
    <w:rPr>
      <w:rFonts w:ascii="XO Thames" w:hAnsi="XO Thames"/>
      <w:sz w:val="28"/>
    </w:rPr>
  </w:style>
  <w:style w:type="paragraph" w:customStyle="1" w:styleId="ad">
    <w:name w:val="Привязка сноски"/>
    <w:qFormat/>
    <w:pPr>
      <w:widowControl w:val="0"/>
    </w:pPr>
    <w:rPr>
      <w:vertAlign w:val="superscript"/>
    </w:rPr>
  </w:style>
  <w:style w:type="paragraph" w:customStyle="1" w:styleId="Contents60">
    <w:name w:val="Contents 6"/>
    <w:next w:val="Standard"/>
    <w:qFormat/>
    <w:pPr>
      <w:widowControl w:val="0"/>
      <w:ind w:left="1000"/>
    </w:pPr>
    <w:rPr>
      <w:rFonts w:ascii="XO Thames" w:hAnsi="XO Thames"/>
      <w:sz w:val="28"/>
    </w:rPr>
  </w:style>
  <w:style w:type="paragraph" w:customStyle="1" w:styleId="24">
    <w:name w:val="Основной шрифт абзаца2"/>
    <w:qFormat/>
  </w:style>
  <w:style w:type="paragraph" w:styleId="32">
    <w:name w:val="toc 3"/>
    <w:next w:val="a"/>
    <w:uiPriority w:val="39"/>
    <w:pPr>
      <w:ind w:left="400"/>
    </w:pPr>
    <w:rPr>
      <w:rFonts w:ascii="XO Thames" w:hAnsi="XO Thames"/>
      <w:sz w:val="28"/>
    </w:rPr>
  </w:style>
  <w:style w:type="paragraph" w:customStyle="1" w:styleId="1b">
    <w:name w:val="Текст сноски1"/>
    <w:basedOn w:val="Standard"/>
    <w:qFormat/>
    <w:pPr>
      <w:spacing w:after="0" w:line="240" w:lineRule="auto"/>
    </w:pPr>
    <w:rPr>
      <w:sz w:val="20"/>
    </w:rPr>
  </w:style>
  <w:style w:type="paragraph" w:customStyle="1" w:styleId="Contents70">
    <w:name w:val="Contents 7"/>
    <w:next w:val="Standard"/>
    <w:qFormat/>
    <w:pPr>
      <w:widowControl w:val="0"/>
      <w:ind w:left="1200"/>
    </w:pPr>
    <w:rPr>
      <w:rFonts w:ascii="XO Thames" w:hAnsi="XO Thames"/>
      <w:sz w:val="28"/>
    </w:rPr>
  </w:style>
  <w:style w:type="paragraph" w:customStyle="1" w:styleId="Contents10">
    <w:name w:val="Contents 1"/>
    <w:next w:val="Standard"/>
    <w:qFormat/>
    <w:pPr>
      <w:widowControl w:val="0"/>
    </w:pPr>
    <w:rPr>
      <w:rFonts w:ascii="XO Thames" w:hAnsi="XO Thames"/>
      <w:b/>
      <w:sz w:val="28"/>
    </w:rPr>
  </w:style>
  <w:style w:type="paragraph" w:customStyle="1" w:styleId="FootnoteCharacters0">
    <w:name w:val="Footnote Characters"/>
    <w:basedOn w:val="1a"/>
    <w:qFormat/>
    <w:rPr>
      <w:vertAlign w:val="superscript"/>
    </w:rPr>
  </w:style>
  <w:style w:type="paragraph" w:styleId="ae">
    <w:name w:val="No Spacing"/>
    <w:qFormat/>
    <w:rPr>
      <w:sz w:val="22"/>
    </w:rPr>
  </w:style>
  <w:style w:type="paragraph" w:customStyle="1" w:styleId="Standard">
    <w:name w:val="Standard"/>
    <w:qFormat/>
    <w:pPr>
      <w:spacing w:after="200" w:line="276" w:lineRule="auto"/>
    </w:pPr>
    <w:rPr>
      <w:sz w:val="22"/>
    </w:rPr>
  </w:style>
  <w:style w:type="paragraph" w:customStyle="1" w:styleId="1c">
    <w:name w:val="Гиперссылка1"/>
    <w:qFormat/>
    <w:pPr>
      <w:widowControl w:val="0"/>
    </w:pPr>
    <w:rPr>
      <w:color w:val="0000FF"/>
      <w:u w:val="single"/>
    </w:rPr>
  </w:style>
  <w:style w:type="paragraph" w:customStyle="1" w:styleId="Footnote0">
    <w:name w:val="Footnote"/>
    <w:qFormat/>
    <w:pPr>
      <w:widowControl w:val="0"/>
      <w:ind w:firstLine="851"/>
      <w:jc w:val="both"/>
    </w:pPr>
    <w:rPr>
      <w:rFonts w:ascii="XO Thames" w:hAnsi="XO Thames"/>
      <w:sz w:val="22"/>
    </w:rPr>
  </w:style>
  <w:style w:type="paragraph" w:styleId="1d">
    <w:name w:val="toc 1"/>
    <w:next w:val="a"/>
    <w:uiPriority w:val="39"/>
    <w:rPr>
      <w:rFonts w:ascii="XO Thames" w:hAnsi="XO Thames"/>
      <w:b/>
      <w:sz w:val="28"/>
    </w:rPr>
  </w:style>
  <w:style w:type="paragraph" w:customStyle="1" w:styleId="1e">
    <w:name w:val="Заголовок1"/>
    <w:basedOn w:val="Standard"/>
    <w:next w:val="a7"/>
    <w:qFormat/>
    <w:pPr>
      <w:keepNext/>
      <w:spacing w:before="240" w:after="120"/>
    </w:pPr>
    <w:rPr>
      <w:rFonts w:ascii="PT Astra Serif" w:hAnsi="PT Astra Serif"/>
      <w:sz w:val="28"/>
    </w:rPr>
  </w:style>
  <w:style w:type="paragraph" w:customStyle="1" w:styleId="Textbody0">
    <w:name w:val="Text body"/>
    <w:basedOn w:val="Standard"/>
    <w:qFormat/>
    <w:pPr>
      <w:spacing w:after="140"/>
    </w:pPr>
  </w:style>
  <w:style w:type="paragraph" w:customStyle="1" w:styleId="1f">
    <w:name w:val="Название объекта1"/>
    <w:basedOn w:val="Standard"/>
    <w:qFormat/>
    <w:pPr>
      <w:spacing w:before="120" w:after="120"/>
    </w:pPr>
    <w:rPr>
      <w:rFonts w:ascii="PT Astra Serif" w:hAnsi="PT Astra Serif"/>
      <w:i/>
      <w:sz w:val="24"/>
    </w:rPr>
  </w:style>
  <w:style w:type="paragraph" w:styleId="9">
    <w:name w:val="toc 9"/>
    <w:next w:val="a"/>
    <w:uiPriority w:val="39"/>
    <w:pPr>
      <w:ind w:left="1600"/>
    </w:pPr>
    <w:rPr>
      <w:rFonts w:ascii="XO Thames" w:hAnsi="XO Thames"/>
      <w:sz w:val="28"/>
    </w:rPr>
  </w:style>
  <w:style w:type="paragraph" w:customStyle="1" w:styleId="Contents90">
    <w:name w:val="Contents 9"/>
    <w:next w:val="Standard"/>
    <w:qFormat/>
    <w:pPr>
      <w:widowControl w:val="0"/>
      <w:ind w:left="1600"/>
    </w:pPr>
    <w:rPr>
      <w:rFonts w:ascii="XO Thames" w:hAnsi="XO Thames"/>
      <w:sz w:val="28"/>
    </w:rPr>
  </w:style>
  <w:style w:type="paragraph" w:styleId="8">
    <w:name w:val="toc 8"/>
    <w:next w:val="a"/>
    <w:uiPriority w:val="39"/>
    <w:pPr>
      <w:ind w:left="1400"/>
    </w:pPr>
    <w:rPr>
      <w:rFonts w:ascii="XO Thames" w:hAnsi="XO Thames"/>
      <w:sz w:val="28"/>
    </w:rPr>
  </w:style>
  <w:style w:type="paragraph" w:customStyle="1" w:styleId="af">
    <w:name w:val="Текст сноски Знак"/>
    <w:basedOn w:val="1a"/>
    <w:qFormat/>
  </w:style>
  <w:style w:type="paragraph" w:styleId="50">
    <w:name w:val="toc 5"/>
    <w:next w:val="a"/>
    <w:uiPriority w:val="39"/>
    <w:pPr>
      <w:ind w:left="800"/>
    </w:pPr>
    <w:rPr>
      <w:rFonts w:ascii="XO Thames" w:hAnsi="XO Thames"/>
      <w:sz w:val="28"/>
    </w:rPr>
  </w:style>
  <w:style w:type="paragraph" w:styleId="af0">
    <w:name w:val="Subtitle"/>
    <w:next w:val="Standard"/>
    <w:uiPriority w:val="11"/>
    <w:qFormat/>
    <w:pPr>
      <w:widowControl w:val="0"/>
      <w:jc w:val="both"/>
    </w:pPr>
    <w:rPr>
      <w:rFonts w:ascii="XO Thames" w:hAnsi="XO Thames"/>
      <w:i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</a:majorFont>
      <a:minorFont>
        <a:latin typeface="Aptos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719</Words>
  <Characters>4103</Characters>
  <Application>Microsoft Office Word</Application>
  <DocSecurity>0</DocSecurity>
  <Lines>34</Lines>
  <Paragraphs>9</Paragraphs>
  <ScaleCrop>false</ScaleCrop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Владислав Шевченко</cp:lastModifiedBy>
  <cp:revision>2</cp:revision>
  <dcterms:created xsi:type="dcterms:W3CDTF">2025-12-30T02:49:00Z</dcterms:created>
  <dcterms:modified xsi:type="dcterms:W3CDTF">2025-12-30T02:51:00Z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ScaleCrop">
    <vt:bool>false</vt:bool>
  </property>
</Properties>
</file>