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Аналитический материал по итогам служебной деятельности</w:t>
      </w:r>
    </w:p>
    <w:p>
      <w:pPr>
        <w:pStyle w:val="NoSpacing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отдела государственного контроля Управления Росгвардии</w:t>
      </w:r>
    </w:p>
    <w:p>
      <w:pPr>
        <w:pStyle w:val="NoSpacing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по Хабаровскому краю за 6 месяцев 2025 года</w:t>
      </w:r>
    </w:p>
    <w:p>
      <w:pPr>
        <w:pStyle w:val="NoSpacing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jc w:val="center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Работа по контролю за деятельностью подразделений охраны</w:t>
      </w:r>
    </w:p>
    <w:p>
      <w:pPr>
        <w:pStyle w:val="NoSpacing"/>
        <w:jc w:val="center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юридических лиц с особыми уставными задачами</w:t>
      </w:r>
    </w:p>
    <w:p>
      <w:pPr>
        <w:pStyle w:val="NoSpacing"/>
        <w:jc w:val="center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и подразделений ведомственной охраны</w:t>
      </w:r>
    </w:p>
    <w:p>
      <w:pPr>
        <w:pStyle w:val="NoSpacing"/>
        <w:ind w:firstLine="709"/>
        <w:jc w:val="both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</w:p>
    <w:p>
      <w:pPr>
        <w:pStyle w:val="Standard"/>
        <w:spacing w:lineRule="auto" w:line="240" w:before="0" w:after="0"/>
        <w:ind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  <w:shd w:fill="FFFFFF" w:val="clear"/>
        </w:rPr>
        <w:t>На территории Хабаровского края осуществляют свою деятельность 9 подразделений ведомственной охраны и 8 подразделений охраны юридических лиц с особыми уставными задачами.</w:t>
      </w:r>
    </w:p>
    <w:p>
      <w:pPr>
        <w:pStyle w:val="NoSpacing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 с Планом проведения проверок подразделений охраны юридических лиц с особыми уставными задачами и подразделений ведомственной охраны на 2025 год Управлением Росгвардии по Хабаровскому краю проведено 4 плановых проверки подразделений охраны, осуществляющих свою деятельность на территории Хабаровского края.</w:t>
      </w:r>
    </w:p>
    <w:p>
      <w:pPr>
        <w:pStyle w:val="Standard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итогам проведенных плановых проверок выявлено 16 нарушений обязательных требований (9 из них устранены в ходе проведения проверок).</w:t>
      </w:r>
    </w:p>
    <w:p>
      <w:pPr>
        <w:pStyle w:val="NoSpacing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Наиболее часто встречающиеся нарушения:</w:t>
      </w:r>
    </w:p>
    <w:p>
      <w:pPr>
        <w:pStyle w:val="NoSpacing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не прохождение работниками дактилоскопической регистрации, в соответствии с установленными требованиями;</w:t>
      </w:r>
    </w:p>
    <w:p>
      <w:pPr>
        <w:pStyle w:val="NoSpacing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не прохождение работниками, в установленные сроки, периодических проверок </w:t>
      </w:r>
      <w:r>
        <w:rPr>
          <w:rFonts w:ascii="Times New Roman" w:hAnsi="Times New Roman"/>
          <w:sz w:val="28"/>
          <w:szCs w:val="28"/>
          <w:shd w:fill="FFFFFF" w:val="clear"/>
        </w:rPr>
        <w:t>на пригодность к действиям в условиях, связанных с применением огнестрельного оружия и специальных средств</w:t>
      </w:r>
      <w:r>
        <w:rPr>
          <w:rFonts w:ascii="Times New Roman" w:hAnsi="Times New Roman"/>
          <w:sz w:val="28"/>
          <w:szCs w:val="28"/>
        </w:rPr>
        <w:t>;</w:t>
      </w:r>
    </w:p>
    <w:p>
      <w:pPr>
        <w:pStyle w:val="Standard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отсутствие обязательного личного страхования жизни и здоровья работников;</w:t>
      </w:r>
    </w:p>
    <w:p>
      <w:pPr>
        <w:pStyle w:val="Standard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нарушение порядка (при трудоустройстве), предоставления сведений об отсутствии судимости, либо прекращения уголовного преследования.</w:t>
      </w:r>
    </w:p>
    <w:p>
      <w:pPr>
        <w:pStyle w:val="Standard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рамках реализации Программы профилактики нарушений обязательных требований, при осуществлении федерального государственного контроля (надзора) в установленных сферах на 2025 год, Управлением Росгвардии по Хабаровскому краю вынесено 11 предостережений о недопустимости нарушения обязательных требований. Проведено 4 рабочих встречи с представителями подразделений охран по вопросам противодиверсионной защищенности, усиления контрольно-пропускного и внутриобъектового режимов охраняемых объектов, рассмотрения вопросов, касающихся изменений при проведении плановых и внеплановых проверок.</w:t>
      </w:r>
    </w:p>
    <w:p>
      <w:pPr>
        <w:pStyle w:val="Standard"/>
        <w:tabs>
          <w:tab w:val="clear" w:pos="653"/>
          <w:tab w:val="left" w:pos="675" w:leader="none"/>
          <w:tab w:val="left" w:pos="1820" w:leader="none"/>
          <w:tab w:val="left" w:pos="3351" w:leader="none"/>
          <w:tab w:val="left" w:pos="5900" w:leader="none"/>
          <w:tab w:val="left" w:pos="9072" w:leader="none"/>
        </w:tabs>
        <w:spacing w:lineRule="auto" w:line="240" w:before="0" w:after="0"/>
        <w:ind w:firstLine="680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составе Комиссии по периодическим проверкам сотрудниками отдела государственного контроля принято 1523 чел/экзаменов у работников подразделений охраны на пригодность к действиям в условиях, связанных с применением огнестрельного оружия и специальных средств.</w:t>
      </w:r>
    </w:p>
    <w:p>
      <w:pPr>
        <w:pStyle w:val="Standard"/>
        <w:tabs>
          <w:tab w:val="clear" w:pos="653"/>
          <w:tab w:val="left" w:pos="675" w:leader="none"/>
          <w:tab w:val="left" w:pos="1820" w:leader="none"/>
          <w:tab w:val="left" w:pos="3351" w:leader="none"/>
          <w:tab w:val="left" w:pos="5900" w:leader="none"/>
          <w:tab w:val="left" w:pos="9072" w:leader="none"/>
        </w:tabs>
        <w:spacing w:lineRule="auto" w:line="240" w:before="0" w:after="0"/>
        <w:ind w:firstLine="680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Проведено дактилоскопирование 132 работников подразделений ведомственных охран и юридических лиц с особыми уставными задачами.</w:t>
      </w:r>
    </w:p>
    <w:p>
      <w:pPr>
        <w:pStyle w:val="NoSpacing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</w:r>
    </w:p>
    <w:p>
      <w:pPr>
        <w:pStyle w:val="NoSpacing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</w:r>
    </w:p>
    <w:p>
      <w:pPr>
        <w:pStyle w:val="NoSpacing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</w:r>
    </w:p>
    <w:p>
      <w:pPr>
        <w:pStyle w:val="NoSpacing"/>
        <w:jc w:val="center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</w:r>
    </w:p>
    <w:p>
      <w:pPr>
        <w:pStyle w:val="NoSpacing"/>
        <w:jc w:val="center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Работа по контролю за обеспечением безопасности</w:t>
      </w:r>
    </w:p>
    <w:p>
      <w:pPr>
        <w:pStyle w:val="NoSpacing"/>
        <w:jc w:val="center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и антитеррористической защищенности объектов</w:t>
      </w:r>
    </w:p>
    <w:p>
      <w:pPr>
        <w:pStyle w:val="NoSpacing"/>
        <w:jc w:val="center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топливно-энергетического комплекса (ТЭК)</w:t>
      </w:r>
    </w:p>
    <w:p>
      <w:pPr>
        <w:pStyle w:val="NoSpacing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Spacing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территории Хабаровского края расположено 10 субъектов ТЭК, в состав которых входит 35 категорированных объектов ТЭК, включенных в Реестр, формируемый Министерством энергетики Российской Федерации. </w:t>
      </w:r>
    </w:p>
    <w:p>
      <w:pPr>
        <w:pStyle w:val="NoSpacing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2025 году проведено 11 плановых и 19 внеплановых проверок объектов ТЭК.</w:t>
      </w:r>
    </w:p>
    <w:p>
      <w:pPr>
        <w:pStyle w:val="NoSpacing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итогам проведенных плановых проверок выявлены нарушения требований обеспечения безопасности и антитеррористической защищенности объектов, руководителям субъектов ТЭК выдано 5 предписаний об устранении выявленных нарушений. В отношении должностных и юридических лиц субъектов ТЭК составлено 6 протоколов об административных правонарушениях по ст. 20.30 КоАП РФ.</w:t>
      </w:r>
    </w:p>
    <w:p>
      <w:pPr>
        <w:pStyle w:val="NoSpacing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результатам проведенных внеплановых проверок установлены факты неисполнения предписаний об устранении выявленных нарушений. Руководителям субъектов ТЭК выдано 7 предписаний об устранении выявленных нарушений. В отношении субъектов ТЭК составлено 17 протоколов об административных правонарушениях по статье 19.5 КоАП РФ.</w:t>
      </w:r>
    </w:p>
    <w:p>
      <w:pPr>
        <w:pStyle w:val="NoSpacing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Принято участие в 3 межведомственных комиссиях по категорированию объектов ТЭК и актуализации паспортов безопасности.</w:t>
      </w:r>
    </w:p>
    <w:p>
      <w:pPr>
        <w:pStyle w:val="NoSpacing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рамках реализации Программы профилактики нарушений обязательных требований, при осуществлении федерального государственного контроля (надзора) в установленных сферах на 2025 год, Управлением Росгвардии по Хабаровскому краю в отношении 12 объектов вынесены предостережения о недопустимости нарушения обязательных требований. Проведено 2 рабочих встречи с представителями субъектов ТЭК по вопросам противодиверсионной защищенности, выполнения требований антитеррористической защищенности объектов по противодействию БПЛА, усиления контрольно-пропускного и внутриобъектового режимов, рассмотрение вопросов, касающихся изменений требований нормативных правовых актов. В ходе проведения проверок осуществлено 30 консультирований представителей субъектов ТЭК о порядке проведения и требованиях защищенности.</w:t>
      </w:r>
    </w:p>
    <w:p>
      <w:pPr>
        <w:pStyle w:val="NoSpacing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заседании Антитеррористической комиссии Хабаровского края, а также на совещании при заместителе председателя Правительства Хабаровского края заслушан ряд руководителей субъектов ТЭК о принимаемых мерах по обеспечению антитеррористической защищенности.</w:t>
      </w:r>
    </w:p>
    <w:p>
      <w:pPr>
        <w:pStyle w:val="NoSpacing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Министерстве энергетики Хабаровского края проведена совместная рабочая встреча с представителями субъектов ТЭК по вопросам защищенности объектов. По обращениям субъектов ТЭК осуществлено 3 профилактических визита.</w:t>
      </w:r>
    </w:p>
    <w:sectPr>
      <w:type w:val="nextPage"/>
      <w:pgSz w:w="11906" w:h="16838"/>
      <w:pgMar w:left="1155" w:right="941" w:header="0" w:top="932" w:footer="0" w:bottom="595" w:gutter="0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XO Thames">
    <w:charset w:val="01"/>
    <w:family w:val="roman"/>
    <w:pitch w:val="default"/>
  </w:font>
  <w:font w:name="PT Sans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653"/>
  <w:autoHyphenation w:val="true"/>
  <w:compat>
    <w:compatSetting w:name="compatibilityMode" w:uri="http://schemas.microsoft.com/office/word" w:val="15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color w:val="000000"/>
        <w:kern w:val="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Calibri" w:hAnsi="Calibri" w:eastAsia="Tahoma" w:cs="Tahoma"/>
      <w:color w:val="000000"/>
      <w:kern w:val="2"/>
      <w:sz w:val="20"/>
      <w:szCs w:val="20"/>
      <w:lang w:val="ru-RU" w:eastAsia="ru-RU" w:bidi="ar-SA"/>
    </w:rPr>
  </w:style>
  <w:style w:type="paragraph" w:styleId="1">
    <w:name w:val="Heading 1"/>
    <w:next w:val="Standard"/>
    <w:uiPriority w:val="9"/>
    <w:qFormat/>
    <w:pPr>
      <w:widowControl w:val="false"/>
      <w:suppressAutoHyphens w:val="true"/>
      <w:bidi w:val="0"/>
      <w:spacing w:before="120" w:after="120"/>
      <w:jc w:val="both"/>
      <w:textAlignment w:val="baseline"/>
      <w:outlineLvl w:val="0"/>
    </w:pPr>
    <w:rPr>
      <w:rFonts w:ascii="XO Thames" w:hAnsi="XO Thames" w:eastAsia="XO Thames" w:cs="XO Thames"/>
      <w:b/>
      <w:bCs/>
      <w:color w:val="000000"/>
      <w:kern w:val="2"/>
      <w:sz w:val="32"/>
      <w:szCs w:val="32"/>
      <w:lang w:val="ru-RU" w:eastAsia="ru-RU" w:bidi="ar-SA"/>
    </w:rPr>
  </w:style>
  <w:style w:type="paragraph" w:styleId="2">
    <w:name w:val="Heading 2"/>
    <w:next w:val="Standard"/>
    <w:uiPriority w:val="9"/>
    <w:semiHidden/>
    <w:unhideWhenUsed/>
    <w:qFormat/>
    <w:pPr>
      <w:widowControl w:val="false"/>
      <w:suppressAutoHyphens w:val="true"/>
      <w:bidi w:val="0"/>
      <w:spacing w:before="120" w:after="120"/>
      <w:jc w:val="both"/>
      <w:textAlignment w:val="baseline"/>
      <w:outlineLvl w:val="1"/>
    </w:pPr>
    <w:rPr>
      <w:rFonts w:ascii="XO Thames" w:hAnsi="XO Thames" w:eastAsia="XO Thames" w:cs="XO Thames"/>
      <w:b/>
      <w:bCs/>
      <w:color w:val="000000"/>
      <w:kern w:val="2"/>
      <w:sz w:val="28"/>
      <w:szCs w:val="28"/>
      <w:lang w:val="ru-RU" w:eastAsia="ru-RU" w:bidi="ar-SA"/>
    </w:rPr>
  </w:style>
  <w:style w:type="paragraph" w:styleId="3">
    <w:name w:val="Heading 3"/>
    <w:next w:val="Standard"/>
    <w:uiPriority w:val="9"/>
    <w:semiHidden/>
    <w:unhideWhenUsed/>
    <w:qFormat/>
    <w:pPr>
      <w:widowControl w:val="false"/>
      <w:suppressAutoHyphens w:val="true"/>
      <w:bidi w:val="0"/>
      <w:spacing w:before="120" w:after="120"/>
      <w:jc w:val="both"/>
      <w:textAlignment w:val="baseline"/>
      <w:outlineLvl w:val="2"/>
    </w:pPr>
    <w:rPr>
      <w:rFonts w:ascii="XO Thames" w:hAnsi="XO Thames" w:eastAsia="XO Thames" w:cs="XO Thames"/>
      <w:b/>
      <w:bCs/>
      <w:color w:val="000000"/>
      <w:kern w:val="2"/>
      <w:sz w:val="26"/>
      <w:szCs w:val="26"/>
      <w:lang w:val="ru-RU" w:eastAsia="ru-RU" w:bidi="ar-SA"/>
    </w:rPr>
  </w:style>
  <w:style w:type="paragraph" w:styleId="4">
    <w:name w:val="Heading 4"/>
    <w:next w:val="Standard"/>
    <w:uiPriority w:val="9"/>
    <w:semiHidden/>
    <w:unhideWhenUsed/>
    <w:qFormat/>
    <w:pPr>
      <w:widowControl w:val="false"/>
      <w:suppressAutoHyphens w:val="true"/>
      <w:bidi w:val="0"/>
      <w:spacing w:before="120" w:after="120"/>
      <w:jc w:val="both"/>
      <w:textAlignment w:val="baseline"/>
      <w:outlineLvl w:val="3"/>
    </w:pPr>
    <w:rPr>
      <w:rFonts w:ascii="XO Thames" w:hAnsi="XO Thames" w:eastAsia="XO Thames" w:cs="XO Thames"/>
      <w:b/>
      <w:bCs/>
      <w:color w:val="000000"/>
      <w:kern w:val="2"/>
      <w:sz w:val="24"/>
      <w:szCs w:val="24"/>
      <w:lang w:val="ru-RU" w:eastAsia="ru-RU" w:bidi="ar-SA"/>
    </w:rPr>
  </w:style>
  <w:style w:type="paragraph" w:styleId="5">
    <w:name w:val="Heading 5"/>
    <w:next w:val="Standard"/>
    <w:uiPriority w:val="9"/>
    <w:semiHidden/>
    <w:unhideWhenUsed/>
    <w:qFormat/>
    <w:pPr>
      <w:widowControl w:val="false"/>
      <w:suppressAutoHyphens w:val="true"/>
      <w:bidi w:val="0"/>
      <w:spacing w:before="120" w:after="120"/>
      <w:jc w:val="both"/>
      <w:textAlignment w:val="baseline"/>
      <w:outlineLvl w:val="4"/>
    </w:pPr>
    <w:rPr>
      <w:rFonts w:ascii="XO Thames" w:hAnsi="XO Thames" w:eastAsia="XO Thames" w:cs="XO Thames"/>
      <w:b/>
      <w:bCs/>
      <w:color w:val="000000"/>
      <w:kern w:val="2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9" w:customStyle="1">
    <w:name w:val="Заголовок"/>
    <w:basedOn w:val="Standard"/>
    <w:next w:val="Style10"/>
    <w:qFormat/>
    <w:pPr>
      <w:keepNext w:val="true"/>
      <w:spacing w:before="240" w:after="120"/>
    </w:pPr>
    <w:rPr>
      <w:rFonts w:ascii="PT Sans" w:hAnsi="PT Sans" w:eastAsia="PT Sans" w:cs="PT Sans"/>
      <w:sz w:val="28"/>
      <w:szCs w:val="28"/>
    </w:rPr>
  </w:style>
  <w:style w:type="paragraph" w:styleId="Style10">
    <w:name w:val="Body Text"/>
    <w:basedOn w:val="Standard"/>
    <w:pPr>
      <w:spacing w:before="0" w:after="140"/>
    </w:pPr>
    <w:rPr/>
  </w:style>
  <w:style w:type="paragraph" w:styleId="Style11">
    <w:name w:val="List"/>
    <w:basedOn w:val="Style10"/>
    <w:pPr/>
    <w:rPr>
      <w:rFonts w:ascii="PT Astra Serif" w:hAnsi="PT Astra Serif" w:eastAsia="PT Astra Serif" w:cs="PT Astra Serif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3" w:customStyle="1">
    <w:name w:val="Указатель"/>
    <w:basedOn w:val="Standard"/>
    <w:qFormat/>
    <w:pPr/>
    <w:rPr>
      <w:rFonts w:ascii="PT Sans" w:hAnsi="PT Sans" w:eastAsia="PT Sans" w:cs="PT Sans"/>
    </w:rPr>
  </w:style>
  <w:style w:type="paragraph" w:styleId="Standard" w:customStyle="1">
    <w:name w:val="Standard"/>
    <w:qFormat/>
    <w:pPr>
      <w:widowControl/>
      <w:suppressAutoHyphens w:val="true"/>
      <w:bidi w:val="0"/>
      <w:spacing w:lineRule="auto" w:line="276" w:before="0" w:after="200"/>
      <w:jc w:val="left"/>
      <w:textAlignment w:val="baseline"/>
    </w:pPr>
    <w:rPr>
      <w:rFonts w:ascii="Calibri" w:hAnsi="Calibri" w:eastAsia="Calibri" w:cs="Calibri"/>
      <w:color w:val="000000"/>
      <w:kern w:val="2"/>
      <w:sz w:val="22"/>
      <w:szCs w:val="22"/>
      <w:lang w:val="ru-RU" w:eastAsia="ru-RU" w:bidi="ar-SA"/>
    </w:rPr>
  </w:style>
  <w:style w:type="paragraph" w:styleId="Contents2" w:customStyle="1">
    <w:name w:val="Contents 2"/>
    <w:next w:val="Standard"/>
    <w:qFormat/>
    <w:pPr>
      <w:widowControl w:val="false"/>
      <w:suppressAutoHyphens w:val="true"/>
      <w:bidi w:val="0"/>
      <w:spacing w:before="0" w:after="0"/>
      <w:ind w:left="200" w:hanging="0"/>
      <w:jc w:val="left"/>
      <w:textAlignment w:val="baseline"/>
    </w:pPr>
    <w:rPr>
      <w:rFonts w:ascii="XO Thames" w:hAnsi="XO Thames" w:eastAsia="XO Thames" w:cs="XO Thames"/>
      <w:color w:val="000000"/>
      <w:kern w:val="2"/>
      <w:sz w:val="28"/>
      <w:szCs w:val="28"/>
      <w:lang w:val="ru-RU" w:eastAsia="ru-RU" w:bidi="ar-SA"/>
    </w:rPr>
  </w:style>
  <w:style w:type="paragraph" w:styleId="Contents4" w:customStyle="1">
    <w:name w:val="Contents 4"/>
    <w:next w:val="Standard"/>
    <w:qFormat/>
    <w:pPr>
      <w:widowControl w:val="false"/>
      <w:suppressAutoHyphens w:val="true"/>
      <w:bidi w:val="0"/>
      <w:spacing w:before="0" w:after="0"/>
      <w:ind w:left="600" w:hanging="0"/>
      <w:jc w:val="left"/>
      <w:textAlignment w:val="baseline"/>
    </w:pPr>
    <w:rPr>
      <w:rFonts w:ascii="XO Thames" w:hAnsi="XO Thames" w:eastAsia="XO Thames" w:cs="XO Thames"/>
      <w:color w:val="000000"/>
      <w:kern w:val="2"/>
      <w:sz w:val="28"/>
      <w:szCs w:val="28"/>
      <w:lang w:val="ru-RU" w:eastAsia="ru-RU" w:bidi="ar-SA"/>
    </w:rPr>
  </w:style>
  <w:style w:type="paragraph" w:styleId="Contents6" w:customStyle="1">
    <w:name w:val="Contents 6"/>
    <w:next w:val="Standard"/>
    <w:qFormat/>
    <w:pPr>
      <w:widowControl w:val="false"/>
      <w:suppressAutoHyphens w:val="true"/>
      <w:bidi w:val="0"/>
      <w:spacing w:before="0" w:after="0"/>
      <w:ind w:left="1000" w:hanging="0"/>
      <w:jc w:val="left"/>
      <w:textAlignment w:val="baseline"/>
    </w:pPr>
    <w:rPr>
      <w:rFonts w:ascii="XO Thames" w:hAnsi="XO Thames" w:eastAsia="XO Thames" w:cs="XO Thames"/>
      <w:color w:val="000000"/>
      <w:kern w:val="2"/>
      <w:sz w:val="28"/>
      <w:szCs w:val="28"/>
      <w:lang w:val="ru-RU" w:eastAsia="ru-RU" w:bidi="ar-SA"/>
    </w:rPr>
  </w:style>
  <w:style w:type="paragraph" w:styleId="Contents7" w:customStyle="1">
    <w:name w:val="Contents 7"/>
    <w:next w:val="Standard"/>
    <w:qFormat/>
    <w:pPr>
      <w:widowControl w:val="false"/>
      <w:suppressAutoHyphens w:val="true"/>
      <w:bidi w:val="0"/>
      <w:spacing w:before="0" w:after="0"/>
      <w:ind w:left="1200" w:hanging="0"/>
      <w:jc w:val="left"/>
      <w:textAlignment w:val="baseline"/>
    </w:pPr>
    <w:rPr>
      <w:rFonts w:ascii="XO Thames" w:hAnsi="XO Thames" w:eastAsia="XO Thames" w:cs="XO Thames"/>
      <w:color w:val="000000"/>
      <w:kern w:val="2"/>
      <w:sz w:val="28"/>
      <w:szCs w:val="28"/>
      <w:lang w:val="ru-RU" w:eastAsia="ru-RU" w:bidi="ar-SA"/>
    </w:rPr>
  </w:style>
  <w:style w:type="paragraph" w:styleId="Textbody" w:customStyle="1">
    <w:name w:val="Text body"/>
    <w:basedOn w:val="Standard"/>
    <w:qFormat/>
    <w:pPr>
      <w:spacing w:before="0" w:after="140"/>
    </w:pPr>
    <w:rPr/>
  </w:style>
  <w:style w:type="paragraph" w:styleId="FootnoteCharacters" w:customStyle="1">
    <w:name w:val="Footnote Characters"/>
    <w:basedOn w:val="11"/>
    <w:qFormat/>
    <w:pPr/>
    <w:rPr>
      <w:vertAlign w:val="superscript"/>
    </w:rPr>
  </w:style>
  <w:style w:type="paragraph" w:styleId="Endnote" w:customStyle="1">
    <w:name w:val="Endnote"/>
    <w:qFormat/>
    <w:pPr>
      <w:widowControl w:val="false"/>
      <w:suppressAutoHyphens w:val="true"/>
      <w:bidi w:val="0"/>
      <w:spacing w:before="0" w:after="0"/>
      <w:ind w:firstLine="851"/>
      <w:jc w:val="both"/>
      <w:textAlignment w:val="baseline"/>
    </w:pPr>
    <w:rPr>
      <w:rFonts w:ascii="XO Thames" w:hAnsi="XO Thames" w:eastAsia="XO Thames" w:cs="XO Thames"/>
      <w:color w:val="000000"/>
      <w:kern w:val="2"/>
      <w:sz w:val="22"/>
      <w:szCs w:val="22"/>
      <w:lang w:val="ru-RU" w:eastAsia="ru-RU" w:bidi="ar-SA"/>
    </w:rPr>
  </w:style>
  <w:style w:type="paragraph" w:styleId="11" w:customStyle="1">
    <w:name w:val="Основной шрифт абзаца1"/>
    <w:qFormat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Calibri" w:hAnsi="Calibri" w:eastAsia="Tahoma" w:cs="Tahoma"/>
      <w:color w:val="000000"/>
      <w:kern w:val="2"/>
      <w:sz w:val="20"/>
      <w:szCs w:val="20"/>
      <w:lang w:val="ru-RU" w:eastAsia="ru-RU" w:bidi="ar-SA"/>
    </w:rPr>
  </w:style>
  <w:style w:type="paragraph" w:styleId="Style14" w:customStyle="1">
    <w:name w:val="Текст сноски Знак"/>
    <w:basedOn w:val="11"/>
    <w:qFormat/>
    <w:pPr/>
    <w:rPr>
      <w:rFonts w:eastAsia="Calibri" w:cs="Calibri"/>
    </w:rPr>
  </w:style>
  <w:style w:type="paragraph" w:styleId="Style15" w:customStyle="1">
    <w:name w:val="Привязка сноски"/>
    <w:qFormat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Calibri" w:hAnsi="Calibri" w:eastAsia="Tahoma" w:cs="Tahoma"/>
      <w:color w:val="000000"/>
      <w:kern w:val="2"/>
      <w:sz w:val="20"/>
      <w:szCs w:val="20"/>
      <w:vertAlign w:val="superscript"/>
      <w:lang w:val="ru-RU" w:eastAsia="ru-RU" w:bidi="ar-SA"/>
    </w:rPr>
  </w:style>
  <w:style w:type="paragraph" w:styleId="Contents3" w:customStyle="1">
    <w:name w:val="Contents 3"/>
    <w:next w:val="Standard"/>
    <w:qFormat/>
    <w:pPr>
      <w:widowControl w:val="false"/>
      <w:suppressAutoHyphens w:val="true"/>
      <w:bidi w:val="0"/>
      <w:spacing w:before="0" w:after="0"/>
      <w:ind w:left="400" w:hanging="0"/>
      <w:jc w:val="left"/>
      <w:textAlignment w:val="baseline"/>
    </w:pPr>
    <w:rPr>
      <w:rFonts w:ascii="XO Thames" w:hAnsi="XO Thames" w:eastAsia="XO Thames" w:cs="XO Thames"/>
      <w:color w:val="000000"/>
      <w:kern w:val="2"/>
      <w:sz w:val="28"/>
      <w:szCs w:val="28"/>
      <w:lang w:val="ru-RU" w:eastAsia="ru-RU" w:bidi="ar-SA"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Calibri" w:hAnsi="Calibri" w:eastAsia="Calibri" w:cs="Calibri"/>
      <w:color w:val="000000"/>
      <w:kern w:val="2"/>
      <w:sz w:val="22"/>
      <w:szCs w:val="22"/>
      <w:lang w:val="ru-RU" w:eastAsia="ru-RU" w:bidi="ar-SA"/>
    </w:rPr>
  </w:style>
  <w:style w:type="paragraph" w:styleId="Indexheading">
    <w:name w:val="index heading"/>
    <w:basedOn w:val="Standard"/>
    <w:qFormat/>
    <w:pPr/>
    <w:rPr>
      <w:rFonts w:ascii="PT Astra Serif" w:hAnsi="PT Astra Serif" w:eastAsia="PT Astra Serif" w:cs="PT Astra Serif"/>
    </w:rPr>
  </w:style>
  <w:style w:type="paragraph" w:styleId="Internetlink" w:customStyle="1">
    <w:name w:val="Hyperlink"/>
    <w:qFormat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Calibri" w:hAnsi="Calibri" w:eastAsia="Tahoma" w:cs="Tahoma"/>
      <w:color w:val="0000FF"/>
      <w:kern w:val="2"/>
      <w:sz w:val="20"/>
      <w:szCs w:val="20"/>
      <w:u w:val="single"/>
      <w:lang w:val="ru-RU" w:eastAsia="ru-RU" w:bidi="ar-SA"/>
    </w:rPr>
  </w:style>
  <w:style w:type="paragraph" w:styleId="Footnote" w:customStyle="1">
    <w:name w:val="Footnote"/>
    <w:qFormat/>
    <w:pPr>
      <w:widowControl w:val="false"/>
      <w:suppressAutoHyphens w:val="true"/>
      <w:bidi w:val="0"/>
      <w:spacing w:before="0" w:after="0"/>
      <w:ind w:firstLine="851"/>
      <w:jc w:val="both"/>
      <w:textAlignment w:val="baseline"/>
    </w:pPr>
    <w:rPr>
      <w:rFonts w:ascii="XO Thames" w:hAnsi="XO Thames" w:eastAsia="XO Thames" w:cs="XO Thames"/>
      <w:color w:val="000000"/>
      <w:kern w:val="2"/>
      <w:sz w:val="22"/>
      <w:szCs w:val="22"/>
      <w:lang w:val="ru-RU" w:eastAsia="ru-RU" w:bidi="ar-SA"/>
    </w:rPr>
  </w:style>
  <w:style w:type="paragraph" w:styleId="Contents1" w:customStyle="1">
    <w:name w:val="Contents 1"/>
    <w:next w:val="Standard"/>
    <w:qFormat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XO Thames" w:hAnsi="XO Thames" w:eastAsia="XO Thames" w:cs="XO Thames"/>
      <w:b/>
      <w:bCs/>
      <w:color w:val="000000"/>
      <w:kern w:val="2"/>
      <w:sz w:val="28"/>
      <w:szCs w:val="28"/>
      <w:lang w:val="ru-RU" w:eastAsia="ru-RU" w:bidi="ar-SA"/>
    </w:rPr>
  </w:style>
  <w:style w:type="paragraph" w:styleId="12" w:customStyle="1">
    <w:name w:val="Заголовок1"/>
    <w:basedOn w:val="Standard"/>
    <w:next w:val="Style10"/>
    <w:qFormat/>
    <w:pPr>
      <w:keepNext w:val="true"/>
      <w:spacing w:before="240" w:after="120"/>
    </w:pPr>
    <w:rPr>
      <w:rFonts w:ascii="PT Astra Serif" w:hAnsi="PT Astra Serif" w:eastAsia="PT Astra Serif" w:cs="PT Astra Serif"/>
      <w:sz w:val="28"/>
      <w:szCs w:val="28"/>
    </w:rPr>
  </w:style>
  <w:style w:type="paragraph" w:styleId="Style16" w:customStyle="1">
    <w:name w:val="Верхний и нижний колонтитулы"/>
    <w:qFormat/>
    <w:pPr>
      <w:widowControl w:val="false"/>
      <w:suppressAutoHyphens w:val="true"/>
      <w:bidi w:val="0"/>
      <w:spacing w:before="0" w:after="0"/>
      <w:jc w:val="both"/>
      <w:textAlignment w:val="baseline"/>
    </w:pPr>
    <w:rPr>
      <w:rFonts w:ascii="XO Thames" w:hAnsi="XO Thames" w:eastAsia="XO Thames" w:cs="XO Thames"/>
      <w:color w:val="000000"/>
      <w:kern w:val="2"/>
      <w:sz w:val="28"/>
      <w:szCs w:val="28"/>
      <w:lang w:val="ru-RU" w:eastAsia="ru-RU" w:bidi="ar-SA"/>
    </w:rPr>
  </w:style>
  <w:style w:type="paragraph" w:styleId="ListParagraph">
    <w:name w:val="List Paragraph"/>
    <w:basedOn w:val="Standard"/>
    <w:qFormat/>
    <w:pPr>
      <w:ind w:left="720" w:hanging="0"/>
    </w:pPr>
    <w:rPr/>
  </w:style>
  <w:style w:type="paragraph" w:styleId="Contents9" w:customStyle="1">
    <w:name w:val="Contents 9"/>
    <w:next w:val="Standard"/>
    <w:qFormat/>
    <w:pPr>
      <w:widowControl w:val="false"/>
      <w:suppressAutoHyphens w:val="true"/>
      <w:bidi w:val="0"/>
      <w:spacing w:before="0" w:after="0"/>
      <w:ind w:left="1600" w:hanging="0"/>
      <w:jc w:val="left"/>
      <w:textAlignment w:val="baseline"/>
    </w:pPr>
    <w:rPr>
      <w:rFonts w:ascii="XO Thames" w:hAnsi="XO Thames" w:eastAsia="XO Thames" w:cs="XO Thames"/>
      <w:color w:val="000000"/>
      <w:kern w:val="2"/>
      <w:sz w:val="28"/>
      <w:szCs w:val="28"/>
      <w:lang w:val="ru-RU" w:eastAsia="ru-RU" w:bidi="ar-SA"/>
    </w:rPr>
  </w:style>
  <w:style w:type="paragraph" w:styleId="Contents8" w:customStyle="1">
    <w:name w:val="Contents 8"/>
    <w:next w:val="Standard"/>
    <w:qFormat/>
    <w:pPr>
      <w:widowControl w:val="false"/>
      <w:suppressAutoHyphens w:val="true"/>
      <w:bidi w:val="0"/>
      <w:spacing w:before="0" w:after="0"/>
      <w:ind w:left="1400" w:hanging="0"/>
      <w:jc w:val="left"/>
      <w:textAlignment w:val="baseline"/>
    </w:pPr>
    <w:rPr>
      <w:rFonts w:ascii="XO Thames" w:hAnsi="XO Thames" w:eastAsia="XO Thames" w:cs="XO Thames"/>
      <w:color w:val="000000"/>
      <w:kern w:val="2"/>
      <w:sz w:val="28"/>
      <w:szCs w:val="28"/>
      <w:lang w:val="ru-RU" w:eastAsia="ru-RU" w:bidi="ar-SA"/>
    </w:rPr>
  </w:style>
  <w:style w:type="paragraph" w:styleId="13" w:customStyle="1">
    <w:name w:val="Текст сноски1"/>
    <w:basedOn w:val="Standard"/>
    <w:qFormat/>
    <w:pPr>
      <w:spacing w:lineRule="auto" w:line="240" w:before="0" w:after="0"/>
    </w:pPr>
    <w:rPr>
      <w:sz w:val="20"/>
      <w:szCs w:val="20"/>
    </w:rPr>
  </w:style>
  <w:style w:type="paragraph" w:styleId="Caption">
    <w:name w:val="caption"/>
    <w:basedOn w:val="Standard"/>
    <w:qFormat/>
    <w:pPr>
      <w:spacing w:before="120" w:after="120"/>
    </w:pPr>
    <w:rPr>
      <w:rFonts w:ascii="PT Sans" w:hAnsi="PT Sans" w:eastAsia="PT Sans" w:cs="PT Sans"/>
      <w:i/>
      <w:iCs/>
      <w:sz w:val="24"/>
      <w:szCs w:val="24"/>
    </w:rPr>
  </w:style>
  <w:style w:type="paragraph" w:styleId="14" w:customStyle="1">
    <w:name w:val="Название объекта1"/>
    <w:basedOn w:val="Standard"/>
    <w:qFormat/>
    <w:pPr>
      <w:spacing w:before="120" w:after="120"/>
    </w:pPr>
    <w:rPr>
      <w:rFonts w:ascii="PT Astra Serif" w:hAnsi="PT Astra Serif" w:eastAsia="PT Astra Serif" w:cs="PT Astra Serif"/>
      <w:i/>
      <w:iCs/>
      <w:sz w:val="24"/>
      <w:szCs w:val="24"/>
    </w:rPr>
  </w:style>
  <w:style w:type="paragraph" w:styleId="Contents5" w:customStyle="1">
    <w:name w:val="Contents 5"/>
    <w:next w:val="Standard"/>
    <w:qFormat/>
    <w:pPr>
      <w:widowControl w:val="false"/>
      <w:suppressAutoHyphens w:val="true"/>
      <w:bidi w:val="0"/>
      <w:spacing w:before="0" w:after="0"/>
      <w:ind w:left="800" w:hanging="0"/>
      <w:jc w:val="left"/>
      <w:textAlignment w:val="baseline"/>
    </w:pPr>
    <w:rPr>
      <w:rFonts w:ascii="XO Thames" w:hAnsi="XO Thames" w:eastAsia="XO Thames" w:cs="XO Thames"/>
      <w:color w:val="000000"/>
      <w:kern w:val="2"/>
      <w:sz w:val="28"/>
      <w:szCs w:val="28"/>
      <w:lang w:val="ru-RU" w:eastAsia="ru-RU" w:bidi="ar-SA"/>
    </w:rPr>
  </w:style>
  <w:style w:type="paragraph" w:styleId="Style17">
    <w:name w:val="Subtitle"/>
    <w:next w:val="Standard"/>
    <w:uiPriority w:val="11"/>
    <w:qFormat/>
    <w:pPr>
      <w:widowControl w:val="false"/>
      <w:suppressAutoHyphens w:val="true"/>
      <w:bidi w:val="0"/>
      <w:spacing w:before="0" w:after="0"/>
      <w:jc w:val="both"/>
      <w:textAlignment w:val="baseline"/>
    </w:pPr>
    <w:rPr>
      <w:rFonts w:ascii="XO Thames" w:hAnsi="XO Thames" w:eastAsia="XO Thames" w:cs="XO Thames"/>
      <w:i/>
      <w:iCs/>
      <w:color w:val="000000"/>
      <w:kern w:val="2"/>
      <w:sz w:val="24"/>
      <w:szCs w:val="24"/>
      <w:lang w:val="ru-RU" w:eastAsia="ru-RU" w:bidi="ar-SA"/>
    </w:rPr>
  </w:style>
  <w:style w:type="paragraph" w:styleId="Style18">
    <w:name w:val="Title"/>
    <w:basedOn w:val="12"/>
    <w:next w:val="Style10"/>
    <w:uiPriority w:val="10"/>
    <w:qFormat/>
    <w:pPr>
      <w:jc w:val="center"/>
    </w:pPr>
    <w:rPr>
      <w:b/>
      <w:bCs/>
      <w:sz w:val="56"/>
      <w:szCs w:val="5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LibreOffice/6.4.7.2$Linux_X86_64 LibreOffice_project/40$Build-2</Application>
  <Pages>2</Pages>
  <Words>564</Words>
  <Characters>4365</Characters>
  <CharactersWithSpaces>4903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2025-07-15T02:54:00Z</dcterms:created>
  <dc:creator/>
  <dc:description/>
  <dc:language>ru-RU</dc:language>
  <cp:lastModifiedBy/>
  <dcterms:modified xsi:type="dcterms:W3CDTF">2025-07-15T14:01:36Z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